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Pkw-EnVKV — Werbung</w:t>
      </w:r>
    </w:p>
    <w:p>
      <w:r>
        <w:rPr>
          <w:color w:val="555555"/>
          <w:sz w:val="18"/>
        </w:rPr>
        <w:t xml:space="preserve">Pkw-Energieverbrauchskennzeichnungsverordnung</w:t>
      </w:r>
    </w:p>
    <w:p>
      <w:r>
        <w:rPr>
          <w:color w:val="555555"/>
          <w:sz w:val="18"/>
        </w:rPr>
        <w:t xml:space="preserve">Stand: 23.02.2024 (konsolidierte Textfassung, kein amtliches Inkrafttretensdatum)</w:t>
      </w:r>
    </w:p>
    <w:p>
      <w:r>
        <w:t xml:space="preserve">(1) Hersteller und Händler, die Werbeschriften erstellen, erstellen lassen, weitergeben oder auf andere Weise verwenden, haben sicherzustellen, dass in den Werbeschriften Angaben über den jeweils einschlägigen Energieverbrauch, über die CO2-Emissionen und die CO2-Klassen der betreffenden Modelle neuer Personenkraftwagen nach Maßgabe von Teil I der Anlage 4 gemacht werden.</w:t>
      </w:r>
    </w:p>
    <w:p>
      <w:r>
        <w:t xml:space="preserve">(2) Absatz 1 gilt mit der Maßgabe, dass die Angaben gemäß Teil II der Anlage 4 gemacht werden müssen für Werbematerial, das</w:t>
      </w:r>
    </w:p>
    <w:p>
      <w:pPr>
        <w:ind w:left="420"/>
      </w:pPr>
      <w:r>
        <w:t xml:space="preserve">1. in elektronischer Form,</w:t>
      </w:r>
    </w:p>
    <w:p>
      <w:pPr>
        <w:ind w:left="420"/>
      </w:pPr>
      <w:r>
        <w:t xml:space="preserve">2. durch elektronische, magnetische oder optische Speichermedien oder</w:t>
      </w:r>
    </w:p>
    <w:p>
      <w:pPr>
        <w:ind w:left="420"/>
      </w:pPr>
      <w:r>
        <w:t xml:space="preserve">3. im Internet, einschließlich Werbung in sozialen Medien und in Online-Videoportalen</w:t>
      </w:r>
    </w:p>
    <w:p>
      <w:r>
        <w:t xml:space="preserve">verbreitet wird. Hiervon ausgenommen sind Hörfunkdienste und audiovisuelle Mediendienste nach Artikel 1 Absatz 1 Buchstabe a der Richtlinie 2010/13/EU des Europäischen Parlaments und des Rates vom 10. März 2010 zur Koordinierung bestimmter Rechts- und Verwaltungsvorschriften der Mitgliedstaaten über die Bereitstellung audiovisueller Mediendienste (Richtlinie über audiovisuelle Mediendienste) (ABl. L 95 vom 15.4.2010, S. 1; L 263 vom 6.10.2010, S. 15), die zuletzt durch Artikel 1 der Richtlinie (EU) 2018/1808 (ABl. L 303 vom 28.11.2018, S. 69) geändert worden ist.</w:t>
      </w:r>
    </w:p>
    <w:p>
      <w:r>
        <w:t xml:space="preserve">(3) Die Verpflichtungen der Hersteller nach § 3 Absatz 3 Satz 1 und 2 gelten entsprechend für Angaben, die erforderlich sind, um Werbeschriften oder Werbematerial nach den Absätzen 1 und 2 zu erstellen.</w:t>
      </w:r>
    </w:p>
    <w:p>
      <w:r>
        <w:t xml:space="preserve">(4) § 3 Absatz 4 Satz 1 Nummer 4, Satz 2 und 5 findet entsprechend Anwendung.</w:t>
      </w:r>
    </w:p>
    <w:p>
      <w:r>
        <w:rPr>
          <w:color w:val="555555"/>
          <w:sz w:val="17"/>
        </w:rPr>
        <w:t xml:space="preserve">Zitiervorschlag: § 5 Pkw-EnVKV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https://recht.nulegal.eu/gesetze/Pkw-EnVKV/5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