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PhysTh-APrV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2 und 3 in Verbindung mit § 12 Abs. 1 Satz 8 und 9 des Masseur- und Physiotherapeutengesetzes vom 26. Mai 1994 (BGBl. I S. 1084) verordnet das Bundesministerium für Gesundheit im Benehmen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