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21c PhysTh-APrV — Fristen, Bescheide, Durchführungsbestimmungen</w:t>
      </w:r>
    </w:p>
    <w:p>
      <w:r>
        <w:rPr>
          <w:color w:val="555555"/>
          <w:sz w:val="18"/>
        </w:rPr>
        <w:t xml:space="preserve">Ausbildungs- und Prüfungsverordnung für Physiotherapeuten</w:t>
      </w:r>
    </w:p>
    <w:p>
      <w:r>
        <w:rPr>
          <w:color w:val="555555"/>
          <w:sz w:val="18"/>
        </w:rPr>
        <w:t xml:space="preserve">Stand: 05.03.2020 (konsolidierte Textfassung, kein amtliches Inkrafttretensdatum)</w:t>
      </w:r>
    </w:p>
    <w:p>
      <w:r>
        <w:t xml:space="preserve">(1) Die zuständige Behörde hat über Anträge auf Erteilung einer Erlaubnis als Physiotherapeutin oder Physiotherapeut nach § 1 Absatz 1 Nummer 2 des Masseur- und Physiotherapeutengesetzes in Verbindung mit § 2 Absatz 2, 3, 4a oder Absatz 5 des Masseur- und Physiotherapeutengesetzes kurzfristig, spätestens vier Monate, nach Vorlage der für Entscheidungen nach § 2 des Masseur- und Physiotherapeutengesetzes erforderlichen Unterlagen zu entscheiden. Im Fall des § 81a des Aufenthaltsgesetzes soll die Entscheidung innerhalb von zwei Monaten erfolgen.</w:t>
      </w:r>
    </w:p>
    <w:p>
      <w:r>
        <w:t xml:space="preserve">(2) Über die Feststellung wesentlicher Unterschiede, die zur Auferlegung von Anpassungsmaßnahmen nach den §§ 21a oder 21b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Fächer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des Physiotherapeuten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3 Satz 7 des Masseur- und Physiotherapeutengesetzes erworben haben.</w:t>
      </w:r>
    </w:p>
    <w:p>
      <w:r>
        <w:t xml:space="preserve">(3) Die Prüfungen nach § 21a Absatz 3 und § 21b Absatz 3 finden in Form einer staatlichen Prüfung vor einer staatlichen Prüfungskommission statt. Die Länder können zur Durchführung der Prüfungen die regulären Prüfungstermine der staatlichen Prüfung nach § 2 Absatz 1 nutzen; sie haben dabei sicherzustellen, dass die Antragsteller die Prüfungen innerhalb von sechs Monaten nach der Entscheidung nach Absatz 1 ablegen können. Soweit in diesem Abschnitt nichts anderes bestimmt ist, gelten die §§ 5, 8 bis 11 für die Durchführung der Prüfungen nach Satz 1 entsprechend.</w:t>
      </w:r>
    </w:p>
    <w:p>
      <w:r>
        <w:rPr>
          <w:color w:val="555555"/>
          <w:sz w:val="17"/>
        </w:rPr>
        <w:t xml:space="preserve">Zitiervorschlag: § 21c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https://recht.nulegal.eu/gesetze/PhysTh-APrV/21c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