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21a PhysTh-APrV — Anerkennungsregelungen für Ausbildungsnachweise aus einem anderen Mitgliedstaat der Europäischen Union oder einem anderen Vertragsstaat des Abkommens über den Europäischen Wirtschaftsraum</w:t>
      </w:r>
    </w:p>
    <w:p>
      <w:r>
        <w:rPr>
          <w:color w:val="555555"/>
          <w:sz w:val="18"/>
        </w:rPr>
        <w:t xml:space="preserve">Ausbildungs- und Prüfungsverordnung für Physiotherapeuten</w:t>
      </w:r>
    </w:p>
    <w:p>
      <w:r>
        <w:rPr>
          <w:color w:val="555555"/>
          <w:sz w:val="18"/>
        </w:rPr>
        <w:t xml:space="preserve">Stand: 01.10.2023 (konsolidierte Textfassung, kein amtliches Inkrafttretensdatum)</w:t>
      </w:r>
    </w:p>
    <w:p>
      <w:r>
        <w:t xml:space="preserve">(1) Antragsteller, die eine Erlaubnis nach § 1 Absatz 1 Nummer 2 des Masseur- und Physiotherapeutengesetzes beantragen, haben einen Anpassungslehrgang nach Absatz 2 zu absolvieren oder eine Eignungsprüfung nach Absatz 3 abzulegen, wenn sie über einen Ausbildungsnachweis verfügen, der in einem anderen Mitgliedstaat der Europäischen Union oder einem anderen Vertragsstaat des Abkommens über den Europäischen Wirtschaftsraum erworben worden ist, und ihre Ausbildung wesentliche Unterschiede zu der deutschen Ausbildung aufweist, die von der zuständigen Behörde im Rahmen der Prüfung ihres Antrags auf Erteilung der Erlaubnis zur Führung der Berufsbezeichnung festgestellt worden sind und nicht durch Kenntnisse und Fähigkeiten ausgeglichen werden konnten, die die Antragsteller im Rahmen ihrer nachgewiesenen Berufspraxis oder durch lebenslanges Lernen nach § 2 Absatz 3 Satz 7 des Masseur- und Physiotherapeutengesetzes erworben haben.</w:t>
      </w:r>
    </w:p>
    <w:p>
      <w:r>
        <w:t xml:space="preserve">(2) Der Anpassungslehrgang dient dem Ausgleich der von der zuständigen Behörde festgestellten wesentlichen Unterschiede (Lehrgangsziel). Er wird entsprechend dem Lehrgangsziel in Form von theoretischem und praktischem Unterricht, einer praktischen Ausbildung mit theoretischer Unterweisung oder beidem an Einrichtungen nach § 9 Absatz 1 Satz 2 des Masseur- und Physiotherapeutengesetzes oder an von der zuständigen Behörde als vergleichbar anerkannten Einrichtungen durchgeführt. An der theoretischen Unterweisung sollen Personen nach § 3 Absatz 1 Nummer 3 Buchstabe b in angemessenem Umfang beteiligt werden. Die zuständige Behörde legt die Dauer und die Inhalte des Anpassungslehrgangs so fest, dass das Lehrgangsziel erreicht werden kann. Die Ableistung des Anpassungslehrgangs ist durch eine Bescheinigung nach dem Muster der Anlage 6a nachzuweisen.</w:t>
      </w:r>
    </w:p>
    <w:p>
      <w:r>
        <w:t xml:space="preserve">(3) Bei der Eignungsprüfung haben die Antragsteller nachzuweisen, dass sie über die zum Ausgleich der von der zuständigen Behörde festgestellten wesentlichen Unterschiede erforderlichen Kenntnisse und Fähigkeiten verfügen. Sie besteht aus einer praktischen Prüfung. Dabei hat der Prüfling an mindestens einem und höchstens sieben Patienten aus den in Anlage 1 Teil B Nummer 1 aufgeführten medizinischen Fachgebieten je eine Befunderhebung durchzuführen, zu bewerten, zu dokumentieren und den Therapieplan mit Behandlungsziel und Behandlungsschwerpunkt zu erstellen sowie auf dieser Grundlage geeignete Behandlungstechniken durchzuführen. Die zuständige Behörde legt die medizinischen Fachgebiete, in denen die Prüfung durchgeführt wird, gemäß den festgestellten wesentlichen Unterschieden fest. Die Eignungsprüfung soll innerhalb von zwei Wochen abgeschlossen sein und als Patientenprüfung ausgestaltet werden. Sie wird von zwei Fachprüfern, darunter mindestens einem Fachprüfer nach § 3 Absatz 1 Nummer 3 Buchstabe b, abgenommen und bewertet. Während der Prüfung sind den Prüfern Nachfragen gestattet, die sich auf das konkrete praktische Vorgehen beziehen. Die Eignungsprüfung ist erfolgreich abgeschlossen, wenn die Fachprüfer sie übereinstimmend mit „bestanden“ bewerten. Das Bestehen setzt mindestens voraus, dass die Leistung des Prüflings trotz ihrer Mängel noch den Anforderungen genügt. Kommen die Fachprüfer zu einer unterschiedlichen Bewertung, entscheidet der Vorsitzende des Prüfungsausschusses nach Rücksprache mit den Fachprüfern über das Bestehen. Der Vorsitzende des Prüfungsausschusses muss zu diesem Zweck während der Prüfung anwesend sein; ihm steht ein Fragerecht zu. Die Eignungsprüfung soll mindestens zweimal jährlich angeboten werden. Sie darf einmal wiederholt werden. Über die bestandene Eignungsprüfung wird eine Bescheinigung nach dem Muster der Anlage 6b erteilt.</w:t>
      </w:r>
    </w:p>
    <w:p>
      <w:r>
        <w:t xml:space="preserve">(4) Absatz 3 gilt entsprechend für Personen, die sich gemäß § 13a Absatz 3 Satz 6 des Masseur- und Physiotherapeutengesetzes einer Eignungsprüfung zu unterziehen haben. Abweichend von Absatz 3 Satz 12 ist dabei sicherzustellen, dass die Eignungsprüfung innerhalb eines Monats nach der Entscheidung gemäß § 21 Absatz 5 Satz 1 oder Satz 2 abgelegt werden kann.</w:t>
      </w:r>
    </w:p>
    <w:p>
      <w:r>
        <w:rPr>
          <w:color w:val="555555"/>
          <w:sz w:val="17"/>
        </w:rPr>
        <w:t xml:space="preserve">Zitiervorschlag: § 21a PhysTh-APrV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https://recht.nulegal.eu/gesetze/PhysTh-APrV/21a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