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PhysTh-APrV — Sonderregelungen für Inhaber von Ausbildungsnachweisen aus einem anderen Vertragsstaat des Europäischen Wirtschaftsraumes</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Antragsteller, die eine Erlaubnis nach § 1 Nr. 2 des Masseur- und Physiotherapeutengesetzes beantragen, können zum Nachweis, daß die Voraussetzungen nach § 2 Abs. 1 Nr. 2 dieses Gesetzes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Mitgliedstaates eine Bestätigung verlangen, aus der sich ergibt, dass dem Antragsteller die Ausübung des Berufs, der dem des Physiotherapeuten entspricht, nicht auf Grund eines schwerwiegenden standeswidrigen Verhaltens oder einer Verurteilung wegen strafbarer Handlungen dauerhaft oder vorübergehend untersagt worden ist. Hat die für die Erteilung der Erlaubnis zuständige Behörde in den Fällen des Satzes 1 oder 2 von Tatbeständen Kenntnis, die außerhalb des Geltungsbereichs des Masseur- und Physiotherapeutengesetzes eingetreten sind und im Hinblick auf die Voraussetzungen des § 2 Abs. 1 Nr. 2 dieses Gesetzes von Bedeutung sein können, so hat sie die zuständige Stelle des Herkunftsmitgliedstaats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Antragsteller, die eine Erlaubnis nach § 1 Abs. 1 Nr. 2 des Masseur- und Physiotherapeutengesetzes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Masseur- und Physiotherapeutengesetzes erfüllt sind. Absatz 1 Satz 4 und 5 gilt entsprechend.</w:t>
      </w:r>
    </w:p>
    <w:p>
      <w:r>
        <w:t xml:space="preserve">(3) Antragsteller, die über einen Ausbildungsnachweis im Beruf des Physiotherapeuten verfügen, der in einem anderen Vertragsstaat des Europäischen Wirtschaftsraumes erworben worden ist, führen nach der Anerkennung ihrer Berufsqualifikation die Berufsbezeichnung „Physiotherapeutin“ oder „Physiotherapeut“.</w:t>
      </w:r>
    </w:p>
    <w:p>
      <w:r>
        <w:t xml:space="preserve">(4) Werden von der zuständigen Stelle des Herkunftsmitgliedstaats die in Absatz 1 Satz 1 genannten Bescheinigungen nicht ausgestellt oder die nach Absatz 1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(5) Die zuständige Behörde hat den Dienstleistungserbringer bei der erstmaligen Anzeige einer Dienstleistungserbringung im Sinne des § 13a des Masseur- und Physiotherapeutengesetzes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21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