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PhysTh-APrV — Mündlicher und praktischer Teil der Prüfung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mündlichen Teil der Prüfung gilt § 16 entsprechend.</w:t>
      </w:r>
    </w:p>
    <w:p>
      <w:r>
        <w:t xml:space="preserve">(2) Für den praktischen Teil der Prüfung gilt § 17 entsprechend.</w:t>
      </w:r>
    </w:p>
    <w:p>
      <w:r>
        <w:rPr>
          <w:color w:val="555555"/>
          <w:sz w:val="17"/>
        </w:rPr>
        <w:t xml:space="preserve">Zitiervorschlag: § 19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