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PhysTh-APrV — Praktischer Teil der Prüfung</w:t>
      </w:r>
    </w:p>
    <w:p>
      <w:r>
        <w:rPr>
          <w:color w:val="555555"/>
          <w:sz w:val="18"/>
        </w:rPr>
        <w:t xml:space="preserve">Ausbildungs- und Prüfungsverordnung für Physiotherapeuten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praktische Teil der Prüfung erstreckt sich auf die in § 14 Abs. 1 Nr. 1 und 3 genannten Fächergruppen.</w:t>
      </w:r>
    </w:p>
    <w:p>
      <w:r>
        <w:t xml:space="preserve">(2) Wird die Prüfung in Teilabschnitten abgelegt, findet der praktische Teil der Prüfung nach Beendigung der praktischen Ausbildung im zweiten Abschnitt der Prüfung statt.</w:t>
      </w:r>
    </w:p>
    <w:p>
      <w:r>
        <w:t xml:space="preserve">(3) § 14 Abs. 2 und 3 gilt entsprechend.</w:t>
      </w:r>
    </w:p>
    <w:p>
      <w:r>
        <w:rPr>
          <w:color w:val="555555"/>
          <w:sz w:val="17"/>
        </w:rPr>
        <w:t xml:space="preserve">Zitiervorschlag: § 17 PhysTh-APrV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https://recht.nulegal.eu/gesetze/PhysTh-APrV/17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