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PhysTh-APrV — Schriftlicher Teil der Prüfung</w:t>
      </w:r>
    </w:p>
    <w:p>
      <w:r>
        <w:rPr>
          <w:color w:val="555555"/>
          <w:sz w:val="18"/>
        </w:rPr>
        <w:t xml:space="preserve">Ausbildungs- und Prüfungsverordnung für Physiotherapeuten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schriftliche Teil der Prüfung erstreckt sich auf folgende Fächergruppen:</w:t>
      </w:r>
    </w:p>
    <w:p>
      <w:pPr>
        <w:ind w:left="420"/>
      </w:pPr>
      <w:r>
        <w:t xml:space="preserve">1. Angewandte Physik und Biomechanik; Trainingslehre; Bewegungslehre;</w:t>
      </w:r>
    </w:p>
    <w:p>
      <w:pPr>
        <w:ind w:left="420"/>
      </w:pPr>
      <w:r>
        <w:t xml:space="preserve">2. Methodische Anwendung der Physiotherapie in den medizinischen Fachgebieten.</w:t>
      </w:r>
    </w:p>
    <w:p>
      <w:r>
        <w:t xml:space="preserve">Der Prüfling hat in beiden Fächergruppen in jeweils einer Aufsichtsarbeit schriftlich gestellte Fragen zu beantworten. Die Aufsichtsarbeit in der Fächergruppe 1 dauert 90 Minuten, in der Fächergruppe 2 180 Minuten. Die Aufsichtführenden werden von der Schulleitung bestellt.</w:t>
      </w:r>
    </w:p>
    <w:p>
      <w:r>
        <w:t xml:space="preserve">(2) Legt der Prüfling die Prüfung in Teilabschnitten ab, ist die Aufsichtsarbeit für die Fächergruppe 1 nach Beendigung des theoretischen und praktischen Unterrichts im ersten Abschnitt der Prüfung zu schreiben. Die Aufsichtsarbeit für die Fächergruppe 2 ist nach Beendigung der praktischen Ausbildung im zweiten Abschnitt der Prüfung zu schreiben.</w:t>
      </w:r>
    </w:p>
    <w:p>
      <w:r>
        <w:t xml:space="preserve">(3) § 12 Abs. 2 gilt entsprechend.</w:t>
      </w:r>
    </w:p>
    <w:p>
      <w:r>
        <w:rPr>
          <w:color w:val="555555"/>
          <w:sz w:val="17"/>
        </w:rPr>
        <w:t xml:space="preserve">Zitiervorschlag: § 15 PhysTh-APrV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https://recht.nulegal.eu/gesetze/PhysTh-APrV/15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