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PharmTAG</w:t>
      </w:r>
    </w:p>
    <w:p>
      <w:r>
        <w:rPr>
          <w:color w:val="555555"/>
          <w:sz w:val="18"/>
        </w:rPr>
        <w:t xml:space="preserve">Gesetz über den Beruf des pharmazeutisch-technischen Assistenten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Der pharmazeutisch-technische Assistent ist befugt, in der Apotheke unter der Aufsicht eines Apothekers pharmazeutische Tätigkeiten auszuüben. Das Nähere bestimmt die Apothekenbetriebsordnung. Zur Vertretung in der Leitung einer Apotheke ist der pharmazeutisch-technische Assistent nicht befugt.</w:t>
      </w:r>
    </w:p>
    <w:p>
      <w:r>
        <w:rPr>
          <w:color w:val="555555"/>
          <w:sz w:val="17"/>
        </w:rPr>
        <w:t xml:space="preserve">Zitiervorschlag: § 8 PharmTAG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https://recht.nulegal.eu/gesetze/PharmTAG/8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