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PharmTAG</w:t>
      </w:r>
    </w:p>
    <w:p>
      <w:r>
        <w:rPr>
          <w:color w:val="555555"/>
          <w:sz w:val="18"/>
        </w:rPr>
        <w:t xml:space="preserve">Gesetz über den Beruf des pharmazeutisch-technischen Assistenten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(1) Der Lehrgang wird an einer Lehranstalt durchgeführt, die als zur Ausbildung geeignet staatlich anerkannt ist.</w:t>
      </w:r>
    </w:p>
    <w:p>
      <w:r>
        <w:t xml:space="preserve">(2) Zum Lehrgang wird zugelassen, wer eine abgeschlossene Realschulbildung oder eine andere gleichwertige Ausbildung nachweist.</w:t>
      </w:r>
    </w:p>
    <w:p>
      <w:r>
        <w:t xml:space="preserve">(3) Der Lehrgang umfaßt eine theoretische und praktische Ausbildung.</w:t>
      </w:r>
    </w:p>
    <w:p>
      <w:r>
        <w:rPr>
          <w:color w:val="555555"/>
          <w:sz w:val="17"/>
        </w:rPr>
        <w:t xml:space="preserve">Zitiervorschlag: § 5 PharmTAG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https://recht.nulegal.eu/gesetze/PharmTAG/5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