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PharmTAG</w:t>
      </w:r>
    </w:p>
    <w:p>
      <w:r>
        <w:rPr>
          <w:color w:val="555555"/>
          <w:sz w:val="18"/>
        </w:rPr>
        <w:t xml:space="preserve">Gesetz über den Beruf des pharmazeutisch-technischen Assistenten</w:t>
      </w:r>
    </w:p>
    <w:p>
      <w:r>
        <w:rPr>
          <w:color w:val="555555"/>
          <w:sz w:val="18"/>
        </w:rPr>
        <w:t xml:space="preserve">Historische Fassung: Stand 10.06.2019 bis 01.01.2023. Dies ist nicht die aktuelle Fassung.</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die sofort vollziehbar oder unanfechtbar sind,</w:t>
      </w:r>
    </w:p>
    <w:p>
      <w:pPr>
        <w:ind w:left="420"/>
      </w:pPr>
      <w:r>
        <w:t xml:space="preserve">2. den Verzicht auf die Erlaubnis,</w:t>
      </w:r>
    </w:p>
    <w:p>
      <w:pPr>
        <w:ind w:left="420"/>
      </w:pPr>
      <w:r>
        <w:t xml:space="preserve">3. das Verbot der Ausübung des Berufs des pharmazeutisch-technischen Assistenten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PharmTAG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https://recht.nulegal.eu/gesetze/PharmTAG/2b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