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PharmStV</w:t>
      </w:r>
    </w:p>
    <w:p>
      <w:r>
        <w:rPr>
          <w:color w:val="555555"/>
          <w:sz w:val="18"/>
        </w:rPr>
        <w:t xml:space="preserve">Verordnung über Stoffe mit pharmakologischer Wirkung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58 Abs. 1 Nr. 18, Abs. 4 bis 6 des Lebensmittel- und Futtermittelgesetzbuches wird bestraft, wer</w:t>
      </w:r>
    </w:p>
    <w:p>
      <w:pPr>
        <w:ind w:left="420"/>
      </w:pPr>
      <w:r>
        <w:t xml:space="preserve">1. entgegen § 1 in Anlage 1 aufgeführte Stoffe den in Anlage 1 bezeichneten Tieren für die dort genannten Anwendungsgebiete zuführt,</w:t>
      </w:r>
    </w:p>
    <w:p>
      <w:pPr>
        <w:ind w:left="420"/>
      </w:pPr>
      <w:r>
        <w:t xml:space="preserve">2. entgegen § 2 dort genannte Stoffe den dort genannten Tieren zuführt,</w:t>
      </w:r>
    </w:p>
    <w:p>
      <w:pPr>
        <w:ind w:left="420"/>
      </w:pPr>
      <w:r>
        <w:t xml:space="preserve">3. entgegen § 3 Abs. 1 Lebensmittel in den Verkehr bringt oder</w:t>
      </w:r>
    </w:p>
    <w:p>
      <w:pPr>
        <w:ind w:left="420"/>
      </w:pPr>
      <w:r>
        <w:t xml:space="preserve">4. entgegen § 3 Abs. 2 dort genannte Stoffe in den Verkehr bringt.</w:t>
      </w:r>
    </w:p>
    <w:p>
      <w:r>
        <w:t xml:space="preserve">Wer eine in Satz 1 bezeichnete Handlung fahrlässig begeht, ist nach § 58 Abs. 6 des Lebensmittel- und Futtermittelgesetzbuches strafbar.</w:t>
      </w:r>
    </w:p>
    <w:p>
      <w:r>
        <w:rPr>
          <w:color w:val="555555"/>
          <w:sz w:val="17"/>
        </w:rPr>
        <w:t xml:space="preserve">Zitiervorschlag: § 5 PharmStV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