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PharmStV</w:t>
      </w:r>
    </w:p>
    <w:p>
      <w:r>
        <w:rPr>
          <w:color w:val="555555"/>
          <w:sz w:val="18"/>
        </w:rPr>
        <w:t xml:space="preserve">Verordnung über Stoffe mit pharmakologischer Wirkung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Anlage 1 aufgeführten Stoffe werden, soweit sie nicht Stoffe mit pharmakologischer Wirkung sind, den Stoffen mit pharmakologischer Wirkung gleichgestellt.</w:t>
      </w:r>
    </w:p>
    <w:p>
      <w:r>
        <w:rPr>
          <w:color w:val="555555"/>
          <w:sz w:val="17"/>
        </w:rPr>
        <w:t xml:space="preserve">Zitiervorschlag: § 4 PharmStV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