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PharmStV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Lebensmittel, die von Tieren gewonnen wurden, denen Stoffe entgegen § 1 in Verbindung mit Anlage 1 oder entgegen § 2 in Verbindung mit Anlage 2 oder 3 zugeführt worden sind, dürfen nicht in den Verkehr gebracht werden.</w:t>
      </w:r>
    </w:p>
    <w:p>
      <w:r>
        <w:t xml:space="preserve">(2) Die in Anlage 1 genannten Stoffe dürfen für eine nach den Vorschriften dieser Verordnung verbotene Anwendung nicht in den Verkehr gebracht werden. Die in Anlage 2 genannten Stoffe dürfen nur in den Verkehr gebracht werden, soweit sie zur Anwendung bei den in dieser Anlage bezeichneten Tieren und für die dort genannten Anwendungsgebiete bestimmt sind.</w:t>
      </w:r>
    </w:p>
    <w:p>
      <w:r>
        <w:rPr>
          <w:color w:val="555555"/>
          <w:sz w:val="17"/>
        </w:rPr>
        <w:t xml:space="preserve">Zitiervorschlag: § 3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