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PharmRefPrV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Pharmareferent/Geprüfte Pharmareferentin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Die schriftlichen Prüfungsleistungen in den drei Qualifikationsbereichen nach § 3 Absatz 1 Nummer 1 bis 3 sind einzeln zu bewerten.</w:t>
      </w:r>
    </w:p>
    <w:p>
      <w:r>
        <w:t xml:space="preserve">(3) Die Prüfungsleistung im Fachgespräch nach § 3 Absatz 1 Nummer 4 und Absatz 4 ist zu bewerten.</w:t>
      </w:r>
    </w:p>
    <w:p>
      <w:r>
        <w:rPr>
          <w:color w:val="555555"/>
          <w:sz w:val="17"/>
        </w:rPr>
        <w:t xml:space="preserve">Zitiervorschlag: § 6 PharmRefPrV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https://recht.nulegal.eu/gesetze/PharmRefPrV/6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