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PharmRefPrV — Zulassungsvoraussetzungen</w:t>
      </w:r>
    </w:p>
    <w:p>
      <w:r>
        <w:rPr>
          <w:color w:val="555555"/>
          <w:sz w:val="18"/>
        </w:rPr>
        <w:t xml:space="preserve">Verordnung über die Prüfung zum anerkannten Abschluss Geprüfter Pharmareferent/Geprüfte Pharmareferentin</w:t>
      </w:r>
    </w:p>
    <w:p>
      <w:r>
        <w:rPr>
          <w:color w:val="555555"/>
          <w:sz w:val="18"/>
        </w:rPr>
        <w:t xml:space="preserve">Stand: 10.06.2019 (konsolidierte Textfassung, kein amtliches Inkrafttretensdatum)</w:t>
      </w:r>
    </w:p>
    <w:p>
      <w:r>
        <w:t xml:space="preserve">(1) Zur Prüfung ist zuzulassen, wer Folgendes nachweist:</w:t>
      </w:r>
    </w:p>
    <w:p>
      <w:pPr>
        <w:ind w:left="420"/>
      </w:pPr>
      <w:r>
        <w:t xml:space="preserve">1. eine mit Erfolg abgelegte Abschlussprüfung in einem anerkannten medizinischen, naturwissenschaftlichen, heilberuflichen oder kaufmännischen Ausbildungsberuf, der wesentliche Bezüge zu den Qualifikationsinhalten nach § 3 hat, und danach eine mindestens zweijährige Berufspraxis oder</w:t>
      </w:r>
    </w:p>
    <w:p>
      <w:pPr>
        <w:ind w:left="420"/>
      </w:pPr>
      <w:r>
        <w:t xml:space="preserve">2. eine mindestens fünfjährige Berufspraxis sowie</w:t>
      </w:r>
    </w:p>
    <w:p>
      <w:pPr>
        <w:ind w:left="420"/>
      </w:pPr>
      <w:r>
        <w:t xml:space="preserve">3. die Teilnahme an einer Bildungsmaßnahme gemäß der Anlage oder wer glaubhaft macht, entsprechende Kenntnisse über "Naturwissenschaftliche und medizinische Grundlagen", über "Pharmakologie, die Pharmakotherapie und Krankheitsbilder", über "Arzneimittelrecht, das Gesundheitsmanagement und -ökonomie" sowie über "Kommunikation, Pharmamarkt, Pharmamarketing" auf andere Weise erworben zu haben.</w:t>
      </w:r>
    </w:p>
    <w:p>
      <w:r>
        <w:t xml:space="preserve">(2) Die Berufspraxis muss wesentliche Bezüge zu den Qualifikationsinhalten nach § 3 haben und kann auch im Handel oder Vertrieb erworben worden sein.</w:t>
      </w:r>
    </w:p>
    <w:p>
      <w:r>
        <w:t xml:space="preserve">(3) Abweichend von den in den Absätzen 1 und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