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PharmAusbV 2009</w:t>
      </w:r>
    </w:p>
    <w:p>
      <w:r>
        <w:rPr>
          <w:color w:val="555555"/>
          <w:sz w:val="18"/>
        </w:rPr>
        <w:t xml:space="preserve">Verordnung über die Berufsausbildung zum Pharmakanten/zur Pharmakantin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 Absatz 1 in Verbindung mit § 5 des Berufsbildungsgesetzes vom 23. März 2005 (BGBl. I S. 931), von denen § 4 Absatz 1 durch Artikel 232 Nummer 1 der Verordnung vom 31. Oktober 2006 (BGBl. I S. 2407) geändert worden ist,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PharmAusbV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https://recht.nulegal.eu/gesetze/PharmAusbV%202009/eingangsformel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