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PharmAusbV 2009 — Abschlussprüfung</w:t>
      </w:r>
    </w:p>
    <w:p>
      <w:r>
        <w:rPr>
          <w:color w:val="555555"/>
          <w:sz w:val="18"/>
        </w:rPr>
        <w:t xml:space="preserve">Verordnung über die Berufsausbildung zum Pharmakanten/zur Pharmakantin</w:t>
      </w:r>
    </w:p>
    <w:p>
      <w:r>
        <w:rPr>
          <w:color w:val="555555"/>
          <w:sz w:val="18"/>
        </w:rPr>
        <w:t xml:space="preserve">Stand: 10.06.2019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30 Prozent und Teil 2 der Abschlussprüfung mit 70 Prozent gewichtet.</w:t>
      </w:r>
    </w:p>
    <w:p>
      <w:r>
        <w:rPr>
          <w:color w:val="555555"/>
          <w:sz w:val="17"/>
        </w:rPr>
        <w:t xml:space="preserve">Zitiervorschlag: § 6 PharmAusbV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https://recht.nulegal.eu/gesetze/PharmAusbV%202009/6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