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PharmAusbV 2009 — Struktur der Berufsausbildung</w:t>
      </w:r>
    </w:p>
    <w:p>
      <w:r>
        <w:rPr>
          <w:color w:val="555555"/>
          <w:sz w:val="18"/>
        </w:rPr>
        <w:t xml:space="preserve">Verordnung über die Berufsausbildung zum Pharmakanten/zur Pharmakantin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Berufsausbildung gliedert sich in:</w:t>
      </w:r>
    </w:p>
    <w:p>
      <w:pPr>
        <w:ind w:left="420"/>
      </w:pPr>
      <w:r>
        <w:t xml:space="preserve">1. Pflichtqualifikationen nach § 4 Absatz 2 Abschnitt I Nummer 1 bis 10,</w:t>
      </w:r>
    </w:p>
    <w:p>
      <w:pPr>
        <w:ind w:left="420"/>
      </w:pPr>
      <w:r>
        <w:t xml:space="preserve">2. vom Ausbildenden festzulegende Wahlqualifikationen nach § 4 Absatz 2 Abschnitt II Nummer 1 bis 16 im Umfang von insgesamt 72 Wochen; dabei sind aus den Wahlqualifikationen nach den Nummern 1 bis 3 mindestens zwei und aus den Wahlqualifikationen nach den Nummern 4 bis 6 mindestens eine auszuwählen.</w:t>
      </w:r>
    </w:p>
    <w:p>
      <w:r>
        <w:rPr>
          <w:color w:val="555555"/>
          <w:sz w:val="17"/>
        </w:rPr>
        <w:t xml:space="preserve">Zitiervorschlag: § 3 PharmAusbV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https://recht.nulegal.eu/gesetze/PharmAusbV%202009/3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