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PflvDV — Auszahlung der Zulagen, Auszahlungsreferenzdatei</w:t>
      </w:r>
    </w:p>
    <w:p>
      <w:r>
        <w:rPr>
          <w:color w:val="555555"/>
          <w:sz w:val="18"/>
        </w:rPr>
        <w:t xml:space="preserve">Pflegevorsorgezulage-Durchführungsverordnung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Zulagen werden jeweils am 20. April und am 20. Dezember eines Jahres durch die zentrale Stelle zur Zahlung angewiesen. § 26 des Zehnten Buches Sozialgesetzbuch gilt entsprechend. Zum jeweiligen Auszahlungstermin werden Zulagen angewiesen, die von der zentralen Stelle bis zum Ablauf des Kalendermonats, der dem Auszahlungstermin vorangeht, berechnet wurden.</w:t>
      </w:r>
    </w:p>
    <w:p>
      <w:r>
        <w:t xml:space="preserve">(2) Spätestens mit der Anweisung der Auszahlung der Zulagen wird dem Versicherungsunternehmen eine Auszahlungsreferenzdatei zur Verfügung gestellt. Form und Inhalt der Auszahlungsreferenzdatei legt die zentrale Stelle fest.</w:t>
      </w:r>
    </w:p>
    <w:p>
      <w:r>
        <w:rPr>
          <w:color w:val="555555"/>
          <w:sz w:val="17"/>
        </w:rPr>
        <w:t xml:space="preserve">Zitiervorschlag: § 7 PflvDV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