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PflvDV — Festsetzungsverfahren</w:t>
      </w:r>
    </w:p>
    <w:p>
      <w:r>
        <w:rPr>
          <w:color w:val="555555"/>
          <w:sz w:val="18"/>
        </w:rPr>
        <w:t xml:space="preserve">Pflegevorsorgezulage-Durchführungsverordnung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Festsetzungsverfahren ist nur zulässig, wenn die zentrale Stelle dem Versicherungsunternehmen einen Datensatz nach § 128 Absatz 3 Satz 1 des Elften Buches Sozialgesetzbuch übersendet hat.</w:t>
      </w:r>
    </w:p>
    <w:p>
      <w:r>
        <w:rPr>
          <w:color w:val="555555"/>
          <w:sz w:val="17"/>
        </w:rPr>
        <w:t xml:space="preserve">Zitiervorschlag: § 5 PflvDV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