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PflvDV — Verfahren der Datenübermittlung, Schnittstellen</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Bei der elektronischen Übermittlung der Datensätze durch Datenfernübertragung nach § 9 Absatz 1 sind die für den jeweiligen Übermittlungszeitpunkt bestimmten Schnittstellen ordnungsgemäß zu bedienen. Die für die Datenübermittlung erforderlichen Schnittstellen und die dazugehörige Dokumentation werden nach Genehmigung des Bundesministeriums für Gesundheit über das Internet in einem geschützten Bereich der zentralen Stelle zur Verfügung gestellt.</w:t>
      </w:r>
    </w:p>
    <w:p>
      <w:r>
        <w:t xml:space="preserve">(2) Werden Mängel festgestellt, die eine ordnungsgemäße Übernahme der Daten beeinträchtigen, kann die Übernahme der Daten abgelehnt werden. Der Absender ist über die Mängel zu unterrichten.</w:t>
      </w:r>
    </w:p>
    <w:p>
      <w:r>
        <w:t xml:space="preserve">(3) Die technischen Einrichtungen für die Datenübermittlung stellt jede übermittelnde Stelle für ihren Bereich bereit.</w:t>
      </w:r>
    </w:p>
    <w:p>
      <w:r>
        <w:rPr>
          <w:color w:val="555555"/>
          <w:sz w:val="17"/>
        </w:rPr>
        <w:t xml:space="preserve">Zitiervorschlag: § 11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