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PflfachassAPrV (Nordrhein-Westfalen) — Weitergeltung staatlicher Anerkennung von Schulen</w:t>
      </w:r>
    </w:p>
    <w:p>
      <w:r>
        <w:rPr>
          <w:color w:val="555555"/>
          <w:sz w:val="18"/>
        </w:rPr>
        <w:t xml:space="preserve">Ausbildungs- und Prüfungsverordnung Pflegefachassistenz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Schulen, die bei Inkrafttreten dieser Verordnung staatlich anerkannte Ausbildungen in der Altenpflegehilfe oder in der Gesundheits- und Krankenpflegeassistenz oder staatlich anerkannte Ausbildungen nach dem Pflegeberufegesetz, dem Altenpflegegesetz vom 27. November 2000 (BGBl. I S. 1513), das zuletzt durch Artikel 14 des Gesetzes vom 15. August 2019 (BGBl. I S. 1307, 1331) geändert worden ist oder dem Krankenpflegegesetz mit Zustimmung der zuständigen Behörde durchführen, gelten als staatlich anerkannt nach § 4 Absatz 1.</w:t>
      </w:r>
    </w:p>
    <w:p>
      <w:r>
        <w:rPr>
          <w:color w:val="555555"/>
          <w:sz w:val="17"/>
        </w:rPr>
        <w:t xml:space="preserve">Zitiervorschlag: § 39 PflfachassAPrV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https://recht.nulegal.eu/gesetze/PflfachassAPrV/39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