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PflfachassAPrV (Nordrhein-Westfalen) — Versäumnisfolgen</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Versäumt die zu prüfende Person einen Prüfungstermin gibt sie eine Aufsichtsarbeit nicht oder nicht rechtzeitig ab oder unterbricht sie die Prüfung oder einen Teil der Prüfung, so gilt die Prüfung oder der betreffende Teil der Prüfung als nicht bestanden, wenn nicht ein wichtiger Grund vorliegt. § 28 Absatz 3 und 4 gilt entsprechend. Liegt ein wichtiger Grund vor, so gilt die Prüfung oder der betreffende Teil der Prüfung als nicht unternommen.</w:t>
      </w:r>
    </w:p>
    <w:p>
      <w:r>
        <w:t xml:space="preserve">(2) Die Entscheidung darüber, ob ein wichtiger Grund vorliegt, trifft die oder der Prüfungsvorsitzende. § 29 Absatz 1 gilt entsprechend.</w:t>
      </w:r>
    </w:p>
    <w:p>
      <w:r>
        <w:rPr>
          <w:color w:val="555555"/>
          <w:sz w:val="17"/>
        </w:rPr>
        <w:t xml:space="preserve">Zitiervorschlag: § 30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