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PflegeVMAV (Brandenburg) — Übergangsvorschrift</w:t>
      </w:r>
    </w:p>
    <w:p>
      <w:r>
        <w:rPr>
          <w:color w:val="555555"/>
          <w:sz w:val="18"/>
        </w:rPr>
        <w:t xml:space="preserve">Pflegeversicherung-Mehrbelastungsausgleichsverordnung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Erstattungsverfahren in den Jahren 2016 und 2017 gilt § 2 Absatz 2 Satz 1 nicht. Stattdessen hat die zuständige Behörde die Landkreise und kreisfreien Städte unter angemessener Fristsetzung aufzufordern, die Erstattung von Mehrbelastungen schriftlich geltend zu machen.</w:t>
      </w:r>
    </w:p>
    <w:p>
      <w:r>
        <w:t xml:space="preserve">(2) Soweit in dem im Jahr 2016 durchgeführten Erstattungsverfahren vorläufige Abschläge ausgezahlt wurden, werden etwaig entstehende Differenzbeträge mit der jeweils nächstfolgenden Erstattung verrechnet bis der Ausgleich erfolgt ist.</w:t>
      </w:r>
    </w:p>
    <w:p>
      <w:r>
        <w:t xml:space="preserve">(3) Abweichend von § 2 Absatz 5 können Anträge nach § 1 Absatz 4 für die Erstattungsverfahren der Jahre 2016 und 2017 bis zum 31. März 2018 gestellt werden.</w:t>
      </w:r>
    </w:p>
    <w:p>
      <w:r>
        <w:rPr>
          <w:color w:val="555555"/>
          <w:sz w:val="17"/>
        </w:rPr>
        <w:t xml:space="preserve">Zitiervorschlag: § 3 PflegeVMAV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https://recht.nulegal.eu/gesetze/PflegeVMAV/3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