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PflegeStatV — Veröffentlichung</w:t>
      </w:r>
    </w:p>
    <w:p>
      <w:r>
        <w:rPr>
          <w:color w:val="555555"/>
          <w:sz w:val="18"/>
        </w:rPr>
        <w:t xml:space="preserve">Pflegestatistik-Verordnung</w:t>
      </w:r>
    </w:p>
    <w:p>
      <w:r>
        <w:rPr>
          <w:color w:val="555555"/>
          <w:sz w:val="18"/>
        </w:rPr>
        <w:t xml:space="preserve">Stand: 10.06.2019 (konsolidierte Textfassung, kein amtliches Inkrafttretensdatum)</w:t>
      </w:r>
    </w:p>
    <w:p>
      <w:r>
        <w:t xml:space="preserve">Die statistischen Ämter der Länder sind berechtigt, mit Zustimmung der Betroffenen zweijährlich ein Verzeichnis mit Namen, Anschrift, Kontaktdaten, Träger und Art der Pflegeeinrichtung sowie Zahl und Art der Pflegeplätze eines Pflegeheimes zu veröffentlichen.</w:t>
      </w:r>
    </w:p>
    <w:p>
      <w:r>
        <w:rPr>
          <w:color w:val="555555"/>
          <w:sz w:val="17"/>
        </w:rPr>
        <w:t xml:space="preserve">Zitiervorschlag: § 7 PflegeStatV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https://recht.nulegal.eu/gesetze/PflegeStatV/7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