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PflegeStatV — Periodizität und Berichtszeit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werden zweijährlich, erstmalig für das Jahr 1999, erhoben.</w:t>
      </w:r>
    </w:p>
    <w:p>
      <w:r>
        <w:t xml:space="preserve">(2) Die Angaben nach § 2 Abs. 1 werden jeweils nach dem Stand vom 15. Dezember und die Angaben nach § 2 Abs. 2 jeweils nach dem Stand vom 31. Dezember erhoben.</w:t>
      </w:r>
    </w:p>
    <w:p>
      <w:r>
        <w:t xml:space="preserve">(3) Die Angaben nach den §§ 2 und 3 sind bis zum 15. Februar des Folgejahres dem zuständigen Statistischen Landesamt zu melden. Abweichend davon gilt für die Träger der Pflegeversicherung und die privaten Versicherungsunternehmen der 1. April des Folgejahres.</w:t>
      </w:r>
    </w:p>
    <w:p>
      <w:r>
        <w:rPr>
          <w:color w:val="555555"/>
          <w:sz w:val="17"/>
        </w:rPr>
        <w:t xml:space="preserve">Zitiervorschlag: § 4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