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PflegeStatV — Hilfsmerkmale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des Auskunftspflichtigen,</w:t>
      </w:r>
    </w:p>
    <w:p>
      <w:pPr>
        <w:ind w:left="420"/>
      </w:pPr>
      <w:r>
        <w:t xml:space="preserve">2. für die Erhebungen nach § 1 Abs. 1 Nr. 1 Name und Anschrift der Pflegeeinrichtung,</w:t>
      </w:r>
    </w:p>
    <w:p>
      <w:pPr>
        <w:ind w:left="420"/>
      </w:pPr>
      <w:r>
        <w:t xml:space="preserve">3. für die Erhebungen nach § 1 Abs. 1 Nr. 2 das Kennzeichen für den Leistungsträger,</w:t>
      </w:r>
    </w:p>
    <w:p>
      <w:pPr>
        <w:ind w:left="420"/>
      </w:pPr>
      <w:r>
        <w:t xml:space="preserve">4. Name, Kontaktdaten der für Rückfragen zur Verfügung stehenden Person.</w:t>
      </w:r>
    </w:p>
    <w:p>
      <w:r>
        <w:rPr>
          <w:color w:val="555555"/>
          <w:sz w:val="17"/>
        </w:rPr>
        <w:t xml:space="preserve">Zitiervorschlag: § 3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