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PflegeArbbV 6 — Ausschlussfrist</w:t>
      </w:r>
    </w:p>
    <w:p>
      <w:r>
        <w:rPr>
          <w:color w:val="555555"/>
          <w:sz w:val="18"/>
        </w:rPr>
        <w:t xml:space="preserve">Sechste Pflegearbeitsbedingungenverordnung</w:t>
      </w:r>
    </w:p>
    <w:p>
      <w:r>
        <w:rPr>
          <w:color w:val="555555"/>
          <w:sz w:val="18"/>
        </w:rPr>
        <w:t xml:space="preserve">Historische Fassung: Stand 01.02.2024 bis 01.07.2026. Dies ist nicht die aktuelle Fassung.</w:t>
      </w:r>
    </w:p>
    <w:p>
      <w:r>
        <w:t xml:space="preserve">Die Ansprüche auf das Mindestentgelt verfallen, wenn sie nicht innerhalb von zwölf Monaten nach ihrer Fälligkeit in Textform geltend gemacht werden.</w:t>
      </w:r>
    </w:p>
    <w:p>
      <w:r>
        <w:rPr>
          <w:color w:val="555555"/>
          <w:sz w:val="17"/>
        </w:rPr>
        <w:t xml:space="preserve">Zitiervorschlag: § 5 PflegeArbbV 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https://recht.nulegal.eu/gesetze/PflegeArbbV%206/5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