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PflegeArbbV 3 — Inkrafttreten, Außerkrafttreten</w:t>
      </w:r>
    </w:p>
    <w:p>
      <w:r>
        <w:rPr>
          <w:color w:val="555555"/>
          <w:sz w:val="18"/>
        </w:rPr>
        <w:t xml:space="preserve">Dritte Pflegearbeitsbedingungenverordnung</w:t>
      </w:r>
    </w:p>
    <w:p>
      <w:r>
        <w:rPr>
          <w:color w:val="555555"/>
          <w:sz w:val="18"/>
        </w:rPr>
        <w:t xml:space="preserve">Historische Fassung: Stand 10.06.2019 bis 03.05.2020. Dies ist nicht die aktuelle Fassung.</w:t>
      </w:r>
    </w:p>
    <w:p>
      <w:r>
        <w:t xml:space="preserve">Diese Verordnung tritt am 1. November 2017 in Kraft und am 30. April 2020 außer Kraft.</w:t>
      </w:r>
    </w:p>
    <w:p>
      <w:r>
        <w:rPr>
          <w:color w:val="555555"/>
          <w:sz w:val="17"/>
        </w:rPr>
        <w:t xml:space="preserve">Zitiervorschlag: § 5 PflegeArbbV 3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https://recht.nulegal.eu/gesetze/PflegeArbbV%203/5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