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PflegeArbbV 3 — Ausschlussfrist</w:t>
      </w:r>
    </w:p>
    <w:p>
      <w:r>
        <w:rPr>
          <w:color w:val="555555"/>
          <w:sz w:val="18"/>
        </w:rPr>
        <w:t xml:space="preserve">Dritte Pflegearbeitsbedingungenverordnung</w:t>
      </w:r>
    </w:p>
    <w:p>
      <w:r>
        <w:rPr>
          <w:color w:val="555555"/>
          <w:sz w:val="18"/>
        </w:rPr>
        <w:t xml:space="preserve">Historische Fassung: Stand 10.06.2019 bis 03.05.2020. Dies ist nicht die aktuelle Fassung.</w:t>
      </w:r>
    </w:p>
    <w:p>
      <w:r>
        <w:t xml:space="preserve">Die Ansprüche auf das Mindestentgelt verfallen, wenn sie nicht innerhalb von zwölf Monaten nach ihrer Fälligkeit schriftlich geltend gemacht werden.</w:t>
      </w:r>
    </w:p>
    <w:p>
      <w:r>
        <w:rPr>
          <w:color w:val="555555"/>
          <w:sz w:val="17"/>
        </w:rPr>
        <w:t xml:space="preserve">Zitiervorschlag: § 4 PflegeArbbV 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https://recht.nulegal.eu/gesetze/PflegeArbbV%203/4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