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PflegeArbbV 3 — Fälligkeit</w:t>
      </w:r>
    </w:p>
    <w:p>
      <w:r>
        <w:rPr>
          <w:color w:val="555555"/>
          <w:sz w:val="18"/>
        </w:rPr>
        <w:t xml:space="preserve">Dritte Pflegearbeitsbedingungenverordnung</w:t>
      </w:r>
    </w:p>
    <w:p>
      <w:r>
        <w:rPr>
          <w:color w:val="555555"/>
          <w:sz w:val="18"/>
        </w:rPr>
        <w:t xml:space="preserve">Historische Fassung: Stand 10.06.2019 bis 03.05.2020. Dies ist nicht die aktuelle Fassung.</w:t>
      </w:r>
    </w:p>
    <w:p>
      <w:r>
        <w:t xml:space="preserve">(1) Das in § 2 festgelegte Mindestentgelt wird für die vertraglich vereinbarte Arbeitszeit spätestens zum 15. des Monats fällig, der auf den Monat folgt, für den das Mindestentgelt zu zahlen ist. Über die vertraglich vereinbarte Stundenzahl hinausgehende Arbeitsstunden können auf der Grundlage schriftlicher einzelvertraglicher oder kollektivrechtlicher Vereinbarungen bis zu einer Gesamthöhe von 225 Arbeitsstunden in ein Arbeitszeitkonto eingestellt werden. Der Ausgleich dieser Arbeitsstunden kann durch Auszahlung des auf die über die vertraglich vereinbarte Arbeitszeit hinausgehenden Arbeitsstunden entfallenden Entgeltes oder durch bezahlte Freizeit erfolgen. Im Fall einer Überschreitung der in Satz 2 genannten Obergrenze gilt für die Fälligkeit des Anspruchs auf Vergütung dieser Arbeitsstunden die Regelung nach Satz 1.</w:t>
      </w:r>
    </w:p>
    <w:p>
      <w:r>
        <w:t xml:space="preserve">(2) Die Obergrenze von 225 Arbeitsstunden nach Absatz 1 Satz 2 gilt nicht, wenn der Ausgleich der über die vertraglich vereinbarte Arbeitszeit hinausgehenden Arbeitsstunden zum Ende eines Ausgleichszeitraums mit einer Länge von höchstens 16 Monaten in der Arbeitszeitkontenvereinbarung vereinbart ist. Der Anspruch auf Vergütung von Arbeitsstunden, die in ein Arbeitszeitkonto eingestellt wurden und nicht innerhalb des Ausgleichszeitraums nach Satz 1 ausgeglichen wurden, wird mit Ablauf des für diese Arbeitsstunden geltenden Ausgleichszeitraums fällig. Die Obergrenze von 225 Stunden gilt des Weiteren nicht für Wertguthaben auf der Grundlage des Altersteilzeitgesetzes, der §§ 7b und 7e des Vierten Buches Sozialgesetzbuch oder einer im Hinblick auf den Schutz der Arbeitnehmerinnen und Arbeitnehmer vergleichbaren ausländischen Regelung.</w:t>
      </w:r>
    </w:p>
    <w:p>
      <w:r>
        <w:t xml:space="preserve">(3) Im Falle der Beendigung des Arbeitsverhältnisses hat der Arbeitgeber nicht ausgeglichene Arbeitsstunden spätestens in dem auf die Beendigung des Arbeitsverhältnisses folgenden Kalendermonat auszugleichen.</w:t>
      </w:r>
    </w:p>
    <w:p>
      <w:r>
        <w:t xml:space="preserve">(4) Die Vorschriften des Arbeitszeitgesetzes bleiben unberührt.</w:t>
      </w:r>
    </w:p>
    <w:p>
      <w:r>
        <w:rPr>
          <w:color w:val="555555"/>
          <w:sz w:val="17"/>
        </w:rPr>
        <w:t xml:space="preserve">Zitiervorschlag: § 3 PflegeArbbV 3</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https://recht.nulegal.eu/gesetze/PflegeArbbV%203/3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