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PflegeAVO (Sachsen) — Amtsniederlegung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Vorsitzende und die Vertreter (Mitglieder) können ihr Amt aus wichtigem Grund durch schriftliche Erklärung gegenüber der Geschäftsstelle niederlegen.</w:t>
      </w:r>
    </w:p>
    <w:p>
      <w:r>
        <w:t xml:space="preserve">(2) Die Erklärung wird mit dem Zugang bei der Geschäftsstelle wirksam. Die Geschäftsstelle benachrichtigt die Beteiligten.</w:t>
      </w:r>
    </w:p>
    <w:p>
      <w:r>
        <w:t xml:space="preserve">(3) Für Stellvertreter gelten die Absätze 1 und 2 entsprechend.</w:t>
      </w:r>
    </w:p>
    <w:p>
      <w:r>
        <w:rPr>
          <w:color w:val="555555"/>
          <w:sz w:val="17"/>
        </w:rPr>
        <w:t xml:space="preserve">Zitiervorschlag: § 9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