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PflegeAVO (Sachsen) — Amtsperiode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Amtsperiode des Landespflegeausschusses beträgt vier Jahre.</w:t>
      </w:r>
    </w:p>
    <w:p>
      <w:r>
        <w:t xml:space="preserve">(2) Die Amtsdauer der Vertreter endet mit dem Ablauf der Amtsperiode; sie führen jedoch die Geschäfte bis zur Bestellung der Vertreter der nächsten Amtsperiode weiter.</w:t>
      </w:r>
    </w:p>
    <w:p>
      <w:r>
        <w:t xml:space="preserve">(3) Die erneute Bestellung ist möglich.</w:t>
      </w:r>
    </w:p>
    <w:p>
      <w:r>
        <w:rPr>
          <w:color w:val="555555"/>
          <w:sz w:val="17"/>
        </w:rPr>
        <w:t xml:space="preserve">Zitiervorschlag: § 8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