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PflegeAVO (Sachsen) — Stimmrecht und Beschlussfassung</w:t>
      </w:r>
    </w:p>
    <w:p>
      <w:r>
        <w:rPr>
          <w:color w:val="555555"/>
          <w:sz w:val="18"/>
        </w:rPr>
        <w:t xml:space="preserve">Pflegeausschussverordnung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Jeder Vertreter hat eine Stimme.</w:t>
      </w:r>
    </w:p>
    <w:p>
      <w:r>
        <w:t xml:space="preserve">(2) Der Landespflegeausschuss fasst seine Beschlüsse, soweit in dieser Verordnung keine andere Regelung getroffen ist, mit einfacher Mehrheit der anwesenden Vertreter. Bei Stimmengleichheit entscheidet die Stimme des Vorsitzenden.</w:t>
      </w:r>
    </w:p>
    <w:p>
      <w:r>
        <w:rPr>
          <w:color w:val="555555"/>
          <w:sz w:val="17"/>
        </w:rPr>
        <w:t xml:space="preserve">Zitiervorschlag: § 4 PflegeAVO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