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PfleWoqG (Bayern) — Informationspflichten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Träger ist verpflichtet,</w:t>
      </w:r>
    </w:p>
    <w:p>
      <w:r>
        <w:t xml:space="preserve">1. den Bewohnerinnen und Bewohnern Einblick in die sie betreffenden Aufzeichnungen der Pflege- oder Bedarfsplanung und deren Umsetzung im Sinn des Art. 3 Abs. 2 Nr. 8 und 10 zu gewähren und</w:t>
      </w:r>
    </w:p>
    <w:p>
      <w:r>
        <w:t xml:space="preserve">2. die Bewohnerinnen und Bewohner über vorhandene Beratungs- und Beschwerdestellen zu informieren.</w:t>
      </w:r>
    </w:p>
    <w:p>
      <w:r>
        <w:rPr>
          <w:color w:val="555555"/>
          <w:sz w:val="17"/>
        </w:rPr>
        <w:t xml:space="preserve">Zitiervorschlag: Art 6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