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PfleBeteiligungsV — Anerkennung weiterer Organisationen</w:t>
      </w:r>
    </w:p>
    <w:p>
      <w:r>
        <w:rPr>
          <w:color w:val="555555"/>
          <w:sz w:val="18"/>
        </w:rPr>
        <w:t xml:space="preserve">Pflegebedürftigenbeteiligungsverordnung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Gesundheit kann auf Antrag weitere Organisationen, die nicht Mitglied der in § 2 genannten Verbände sind, als maßgebliche Organisation auf Bundesebene anerkennen, wenn die antragstellende Organisation die gemäß § 1 erforderlichen Kriterien erfüllt und diese nachweist. Das Bundesministerium für Gesundheit gibt den Ländern innerhalb einer angemessenen Frist vor der Entscheidung Gelegenheit zur Stellungnahme; die Stellungnahmen sind in die Entscheidung einzubeziehen. Die Anerkennung erfolgt durch Verwaltungsakt.</w:t>
      </w:r>
    </w:p>
    <w:p>
      <w:r>
        <w:rPr>
          <w:color w:val="555555"/>
          <w:sz w:val="17"/>
        </w:rPr>
        <w:t xml:space="preserve">Zitiervorschlag: § 3 PfleBeteiligungsV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https://recht.nulegal.eu/gesetze/PfleBeteiligungsV/3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