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PflanzentechMeistPrV — Struktur der Prüfung</w:t>
      </w:r>
    </w:p>
    <w:p>
      <w:r>
        <w:rPr>
          <w:color w:val="555555"/>
          <w:sz w:val="18"/>
        </w:rPr>
        <w:t xml:space="preserve">Pflanzentechnologie-Meisterprüfungsverordnung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 besteht aus</w:t>
      </w:r>
    </w:p>
    <w:p>
      <w:pPr>
        <w:ind w:left="420"/>
      </w:pPr>
      <w:r>
        <w:t xml:space="preserve">1. einem Arbeitsprojekt nach § 10 sowie</w:t>
      </w:r>
    </w:p>
    <w:p>
      <w:pPr>
        <w:ind w:left="420"/>
      </w:pPr>
      <w:r>
        <w:t xml:space="preserve">2. einer schriftlichen Prüfung nach § 11.</w:t>
      </w:r>
    </w:p>
    <w:p>
      <w:r>
        <w:rPr>
          <w:color w:val="555555"/>
          <w:sz w:val="17"/>
        </w:rPr>
        <w:t xml:space="preserve">Zitiervorschlag: § 9 PflanzentechMeistPrV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https://recht.nulegal.eu/gesetze/PflanzentechMeistPrV/9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