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PflanzTechnAusbV — Bestehende Berufsausbildungsverhältnisse</w:t>
      </w:r>
    </w:p>
    <w:p>
      <w:r>
        <w:rPr>
          <w:color w:val="555555"/>
          <w:sz w:val="18"/>
        </w:rPr>
        <w:t xml:space="preserve">Pflanzentechnologenausbildungsverordnung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Berufsausbildungsverhältnisse, die bei Inkrafttreten dieser Verordnung bestehen, können unter Anrechnung der bisher zurückgelegten Ausbildungszeit nach den Vorschriften dieser Verordnung fortgesetzt werden, wenn die Vertragsparteien dies vereinbaren.</w:t>
      </w:r>
    </w:p>
    <w:p>
      <w:r>
        <w:rPr>
          <w:color w:val="555555"/>
          <w:sz w:val="17"/>
        </w:rPr>
        <w:t xml:space="preserve">Zitiervorschlag: § 7 PflanzTechnAusbV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https://recht.nulegal.eu/gesetze/PflanzTechnAusbV/7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