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PflanzTechnAusbV — Staatliche Anerkennung des Ausbildungsberufes</w:t>
      </w:r>
    </w:p>
    <w:p>
      <w:r>
        <w:rPr>
          <w:color w:val="555555"/>
          <w:sz w:val="18"/>
        </w:rPr>
        <w:t xml:space="preserve">Pflanzentechnologenausbildungsverordnung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Pflanzentechnologen und der Pflanzentechnologin wird nach § 4 Absatz 1 des Berufsbildungsgesetzes staatlich anerkannt.</w:t>
      </w:r>
    </w:p>
    <w:p>
      <w:r>
        <w:rPr>
          <w:color w:val="555555"/>
          <w:sz w:val="17"/>
        </w:rPr>
        <w:t xml:space="preserve">Zitiervorschlag: § 1 PflanzTechnAusbV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https://recht.nulegal.eu/gesetze/PflanzTechnAusbV/1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