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PflanzTechnAusbStEignV</w:t>
      </w:r>
    </w:p>
    <w:p>
      <w:r>
        <w:rPr>
          <w:color w:val="555555"/>
          <w:sz w:val="18"/>
        </w:rPr>
        <w:t xml:space="preserve">Pflanzentechnologenausbildungsstätteneignungsverordnung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Absatz 3 in Verbindung mit Absatz 1 und 2 des Berufsbildungsgesetzes, von denen Absatz 3 durch Artikel 232 Nummer 2 Buchstabe a der Verordnung vom 31. Oktober 2006 (BGBl. I S. 2407) geändert worden ist, verordnet das Bundesministerium für Ernährung, Landwirtschaft und Verbraucherschutz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PflanzTechnAusbStEignV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https://recht.nulegal.eu/gesetze/PflanzTechnAusbStEignV/eingangsformel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