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PflVGOWiZustV</w:t>
      </w:r>
    </w:p>
    <w:p>
      <w:r>
        <w:rPr>
          <w:color w:val="555555"/>
          <w:sz w:val="18"/>
        </w:rPr>
        <w:t xml:space="preserve">Verordnung über die Zuständigkeit für die Verfolgung und Ahndung von Ordnungswidrigkeiten nach dem Pflichtversicherungsgesetz</w:t>
      </w:r>
    </w:p>
    <w:p>
      <w:r>
        <w:rPr>
          <w:color w:val="555555"/>
          <w:sz w:val="18"/>
        </w:rPr>
        <w:t xml:space="preserve">Historische Fassung: Stand 10.06.2019 bis 17.04.2024. Dies ist nicht die aktuelle Fassung.</w:t>
      </w:r>
    </w:p>
    <w:p>
      <w:r>
        <w:t xml:space="preserve">Der Bundesminister für Wirtschaft</w:t>
      </w:r>
    </w:p>
    <w:p>
      <w:r>
        <w:rPr>
          <w:color w:val="555555"/>
          <w:sz w:val="17"/>
        </w:rPr>
        <w:t xml:space="preserve">Zitiervorschlag: Schlußformel PflVGOWiZustV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https://recht.nulegal.eu/gesetze/PflVGOWiZustV/schlussformel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