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PflVGOWiZustV</w:t>
      </w:r>
    </w:p>
    <w:p>
      <w:r>
        <w:rPr>
          <w:color w:val="555555"/>
          <w:sz w:val="18"/>
        </w:rPr>
        <w:t xml:space="preserve">Verordnung über die Zuständigkeit für die Verfolgung und Ahndung von Ordnungswidrigkeiten nach dem Pflichtversicherungsgesetz</w:t>
      </w:r>
    </w:p>
    <w:p>
      <w:r>
        <w:rPr>
          <w:color w:val="555555"/>
          <w:sz w:val="18"/>
        </w:rPr>
        <w:t xml:space="preserve">Historische Fassung: Stand 10.06.2019 bis 17.04.2024. Dies ist nicht die aktuelle Fassung.</w:t>
      </w:r>
    </w:p>
    <w:p>
      <w:r>
        <w:t xml:space="preserve">Diese Verordnung gilt nach § 14 des Dritten Überleitungsgesetzes vom 4. Januar 1952 (Bundesgesetzblatt I S. 1) in Verbindung mit § 111 des Gesetzes über Ordnungswidrigkeiten auch im Land Berlin.</w:t>
      </w:r>
    </w:p>
    <w:p>
      <w:r>
        <w:rPr>
          <w:color w:val="555555"/>
          <w:sz w:val="17"/>
        </w:rPr>
        <w:t xml:space="preserve">Zitiervorschlag: § 2 PflVGOWiZustV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https://recht.nulegal.eu/gesetze/PflVGOWiZustV/2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