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PflVGOWiZustV</w:t>
      </w:r>
    </w:p>
    <w:p>
      <w:r>
        <w:rPr>
          <w:color w:val="555555"/>
          <w:sz w:val="18"/>
        </w:rPr>
        <w:t xml:space="preserve">Verordnung über die Zuständigkeit für die Verfolgung und Ahndung von Ordnungswidrigkeiten nach dem Pflichtversicherungsgesetz</w:t>
      </w:r>
    </w:p>
    <w:p>
      <w:r>
        <w:rPr>
          <w:color w:val="555555"/>
          <w:sz w:val="18"/>
        </w:rPr>
        <w:t xml:space="preserve">Historische Fassung: Stand 10.06.2019 bis 17.04.2024. Dies ist nicht die aktuelle Fassung.</w:t>
      </w:r>
    </w:p>
    <w:p>
      <w:r>
        <w:t xml:space="preserve">Die Zuständigkeit für die Verfolgung und Ahndung von Ordnungswidrigkeiten nach § 11 des Pflichtversicherungsgesetzes vom 5. April 1965 (Bundesgesetzbl. I S. 213), zuletzt geändert durch das Einführungsgesetz zum Gesetz über Ordnungswidrigkeiten vom 24. Mai 1968 (Bundesgesetzbl. I S. 503), wird dem Bundesaufsichtsamt für das Versicherungs- und Bausparwesen übertragen, soweit es zuständige Genehmigungsbehörde für die Tarife, für die Ermittlung und Verteilung technischer Überschüsse sowie für die Provisionen in der Kraftfahrtversicherung ist.</w:t>
      </w:r>
    </w:p>
    <w:p>
      <w:r>
        <w:rPr>
          <w:color w:val="555555"/>
          <w:sz w:val="17"/>
        </w:rPr>
        <w:t xml:space="preserve">Zitiervorschlag: § 1 PflVGOWiZustV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https://recht.nulegal.eu/gesetze/PflVGOWiZustV/1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