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PflVG — Gemeinschaftsstatistik über den Schadenverlauf</w:t>
      </w:r>
    </w:p>
    <w:p>
      <w:r>
        <w:rPr>
          <w:color w:val="555555"/>
          <w:sz w:val="18"/>
        </w:rPr>
        <w:t xml:space="preserve">Pflichtversicherungsgesetz</w:t>
      </w:r>
    </w:p>
    <w:p>
      <w:r>
        <w:rPr>
          <w:color w:val="555555"/>
          <w:sz w:val="18"/>
        </w:rPr>
        <w:t xml:space="preserve">Stand: 17.04.2024 (konsolidierte Textfassung, kein amtliches Inkrafttretensdatum)</w:t>
      </w:r>
    </w:p>
    <w:p>
      <w:r>
        <w:t xml:space="preserve">(1) Es wird eine jährliche Gemeinschaftsstatistik über den Schadenverlauf in der Kraftfahrzeug-Haftpflichtversicherung geführt. Sie muß Angaben enthalten über die Art und Anzahl der versicherten Risiken, die Anzahl der gemeldeten Schäden, die Erstattungsleistungen und Rückstellungen (Schadenaufwand), die Schadenhäufigkeit, den Schadendurchschnitt und den Schadenbedarf.</w:t>
      </w:r>
    </w:p>
    <w:p>
      <w:r>
        <w:t xml:space="preserve">(2) Sofern die Träger der Kraftfahrzeug-Haftpflichtversicherung und ihre Verbände keine den Anforderungen des Absatzes 1 genügende Gemeinschaftsstatistik zur Verfügung stellen, wird die Statistik von der Bundesanstalt für Finanzdienstleistungsaufsicht geführt.</w:t>
      </w:r>
    </w:p>
    <w:p>
      <w:r>
        <w:t xml:space="preserve">(3) Die Ergebnisse der Statistik sind von der Bundesanstalt für Finanzdienstleistungsaufsicht jährlich zu veröffentlichen.</w:t>
      </w:r>
    </w:p>
    <w:p>
      <w:r>
        <w:rPr>
          <w:color w:val="555555"/>
          <w:sz w:val="17"/>
        </w:rPr>
        <w:t xml:space="preserve">Zitiervorschlag: § 9 PflVG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https://recht.nulegal.eu/gesetze/PflVG/9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