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5c PflVG — Bescheinigung über den Schadenverlauf</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Das Versicherungsunternehmen hat dem Versicherungsnehmer zu folgenden Zeitpunkten eine Bescheinigung über den Schadenverlauf auszustellen:</w:t>
      </w:r>
    </w:p>
    <w:p>
      <w:pPr>
        <w:ind w:left="420"/>
      </w:pPr>
      <w:r>
        <w:t xml:space="preserve">1. jederzeit innerhalb von 15 Tagen ab Zugang eines entsprechenden Verlangens des Versicherungsnehmers und</w:t>
      </w:r>
    </w:p>
    <w:p>
      <w:pPr>
        <w:ind w:left="420"/>
      </w:pPr>
      <w:r>
        <w:t xml:space="preserve">2. bei Beendigung des Versicherungsverhältnisses.</w:t>
      </w:r>
    </w:p>
    <w:p>
      <w:r>
        <w:t xml:space="preserve">(2) Die Bescheinigung ist nach Maßgabe des Musters auszustellen, das von der Europäischen Kommission in einem Durchführungsrechtsakt nach Artikel 16 Absatz 6 der Richtlinie 2009/103/EG festgelegt wird. Die Bescheinigung muss auch Angaben enthalten zur Anzahl derjenigen gemeldeten Haftungsansprüche Dritter einschließlich des Datums jeder einzelnen Forderung, die im Rahmen des Versicherungsvertrages in dem von der Bescheinigung abgedeckten Zeitraum zu einer noch bestehenden Schadenrückstellung geführt haben. Ist eine solche Rückstellung innerhalb einer Frist von drei Jahren nach ihrer Bildung aufgelöst worden, ohne dass entsprechende Leistungen erbracht wurden, so hat der Versicherer auch diese Information in die Bescheinigung aufzunehmen.</w:t>
      </w:r>
    </w:p>
    <w:p>
      <w:r>
        <w:t xml:space="preserve">(3) Das Versicherungsunternehmen hat bei der Festsetzung der Prämien einschließlich der Anwendung etwaiger Rabatte eine in einem anderen Staat des Europäischen Wirtschaftsraums ausgestellte Bescheinigung genauso wie eine im Inland ausgestellte Bescheinigung zu behandeln. Das Versicherungsunternehmen darf Versicherungsnehmer bei der Berücksichtigung der von anderen Versicherungsunternehmen oder von anderen in Artikel 16 Absatz 2 der Richtlinie 2009/103/EG genannten Stellen ausgestellten Bescheinigungen nicht aufgrund ihrer Staatsangehörigkeit oder allein aufgrund ihres früheren Wohnsitzstaates innerhalb des Europäischen Wirtschaftsraums in diskriminierender Weise behandeln oder einen Prämienaufschlag verlangen.</w:t>
      </w:r>
    </w:p>
    <w:p>
      <w:r>
        <w:rPr>
          <w:color w:val="555555"/>
          <w:sz w:val="17"/>
        </w:rPr>
        <w:t xml:space="preserve">Zitiervorschlag: § 5c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