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PflVG — Mindestumfang des Versicherungsschutzes; Verordnungsermächtigungen</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Um einen dem Zweck dieses Gesetzes gerecht werdenden Schutz sicherzustellen, bestimmt das Bundesministerium der Justiz unter Beachtung unionsrechtlicher Verpflichtungen sowie des Europäischen Übereinkommens über die obligatorische Haftpflichtversicherung für Kraftfahrzeuge vom 20. April 1959 (BGBl. 1965 II S. 281) im Einvernehmen mit dem Bundesministerium der Finanzen und dem Bundesministerium für Digitales und Verkehr durch Rechtsverordnung ohne Zustimmung des Bundesrates den Umfang des zur Erfüllung der Versicherungspflicht nach § 1 notwendigen Versicherungsschutzes. Das gilt auch für den Fall, dass durch Gesetz oder unionsrechtliche Verpflichtung eine Versicherungspflicht zur Deckung der beim Transport gefährlicher Güter durch Fahrzeuge verursachten Schäden begründet wird.</w:t>
      </w:r>
    </w:p>
    <w:p>
      <w:r>
        <w:t xml:space="preserve">(2) Die Mindesthöhen der Versicherungssummen ergeben sich aus der Anlage. Das Bundesministerium der Justiz wird ermächtigt, im Einvernehmen mit dem Bundesministerium für Digitales und Verkehr und dem Bundesministerium für Wirtschaft und Klimaschutz durch Rechtsverordnung ohne Zustimmung des Bundesrates die in der Anlage getroffenen Regelungen zu ändern, wenn dies erforderlich ist, um</w:t>
      </w:r>
    </w:p>
    <w:p>
      <w:pPr>
        <w:ind w:left="420"/>
      </w:pPr>
      <w:r>
        <w:t xml:space="preserve">1. bei einer Änderung der wirtschaftlichen Verhältnisse oder der verkehrstechnischen Umstände einen hinreichenden Schutz der Geschädigten sicherzustellen oder</w:t>
      </w:r>
    </w:p>
    <w:p>
      <w:pPr>
        <w:ind w:left="420"/>
      </w:pPr>
      <w:r>
        <w:t xml:space="preserve">2. die Mindesthöhen der Versicherungssummen an die nach Artikel 9 Absatz 2 der Richtlinie 2009/103/EG erhöhten Beträge anzupassen.</w:t>
      </w:r>
    </w:p>
    <w:p>
      <w:r>
        <w:t xml:space="preserve">Ergeben sich auf Grund der Platzzahl des Personenfahrzeugs, auf das sich die Versicherung bezieht, erhöhte Mindestversicherungssummen, so haftet der Versicherer in den Fällen des § 117 Abs. 1 und 2 des Versicherungsvertragsgesetzes für den einer einzelnen Person zugefügten Schaden nur im Rahmen der nicht erhöhten Mindestversicherungssummen.</w:t>
      </w:r>
    </w:p>
    <w:p>
      <w:r>
        <w:t xml:space="preserve">(3) Die Versicherung muss die Haftpflicht mindestens folgender Personen decken:</w:t>
      </w:r>
    </w:p>
    <w:p>
      <w:pPr>
        <w:ind w:left="420"/>
      </w:pPr>
      <w:r>
        <w:t xml:space="preserve">1. des Halters,</w:t>
      </w:r>
    </w:p>
    <w:p>
      <w:pPr>
        <w:ind w:left="420"/>
      </w:pPr>
      <w:r>
        <w:t xml:space="preserve">2. des Eigentümers,</w:t>
      </w:r>
    </w:p>
    <w:p>
      <w:pPr>
        <w:ind w:left="420"/>
      </w:pPr>
      <w:r>
        <w:t xml:space="preserve">3. des Fahrers,</w:t>
      </w:r>
    </w:p>
    <w:p>
      <w:pPr>
        <w:ind w:left="420"/>
      </w:pPr>
      <w:r>
        <w:t xml:space="preserve">4. einer Person der Technischen Aufsicht, wenn es sich um ein Kraftfahrzeug mit autonomer Fahrfunktion im Sinne des § 1d des Straßenverkehrsgesetzes handelt,</w:t>
      </w:r>
    </w:p>
    <w:p>
      <w:pPr>
        <w:ind w:left="420"/>
      </w:pPr>
      <w:r>
        <w:t xml:space="preserve">5. von Personen, die im Rahmen ihres Arbeitsverhältnisses zum Versicherungsnehmer oder Halter den berechtigten Fahrer zu seiner Ablösung oder zur Vornahme von Lade- und Hilfsarbeiten nicht nur gelegentlich als Beifahrer begleiten,</w:t>
      </w:r>
    </w:p>
    <w:p>
      <w:pPr>
        <w:ind w:left="420"/>
      </w:pPr>
      <w:r>
        <w:t xml:space="preserve">6. von Omnibusschaffnern, soweit sie im Rahmen ihres Arbeitsverhältnisses zum Versicherungsnehmer oder Halter tätig werden, und</w:t>
      </w:r>
    </w:p>
    <w:p>
      <w:pPr>
        <w:ind w:left="420"/>
      </w:pPr>
      <w:r>
        <w:t xml:space="preserve">7. von Arbeitgebern oder öffentlichen Dienstherrn des Versicherungsnehmers, wenn das versicherte Fahrzeug mit Zustimmung des Versicherungsnehmers für dienstliche Zwecke gebraucht wird.</w:t>
      </w:r>
    </w:p>
    <w:p>
      <w:r>
        <w:t xml:space="preserve">(4) Mitversicherten Personen ist das Recht auf selbständige Geltendmachung ihrer Ansprüche einzuräumen.</w:t>
      </w:r>
    </w:p>
    <w:p>
      <w:r>
        <w:rPr>
          <w:color w:val="555555"/>
          <w:sz w:val="17"/>
        </w:rPr>
        <w:t xml:space="preserve">Zitiervorschlag: § 4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