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PflVG — Anpassung an Änderungen der Fahrzeug-Zulassungsverordnung; Verordnungsermächtigung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Das Bundesministerium der Justiz wird ermächtigt, im Einvernehmen mit dem Bundesministerium für Digitales und Verkehr durch Rechtsverordnung mit Zustimmung des Bundesrates die Verweise auf Vorschriften der Fahrzeug-Zulassungsverordnung in diesem Gesetz an geänderte Vorschriften der Fahrzeug-Zulassungsverordnung anzupassen, soweit</w:t>
      </w:r>
    </w:p>
    <w:p>
      <w:pPr>
        <w:ind w:left="420"/>
      </w:pPr>
      <w:r>
        <w:t xml:space="preserve">1. die Fahrzeug-Zulassungsverordnung aufgrund von Verordnungsermächtigungen nach dem Straßenverkehrsgesetz geändert wird und</w:t>
      </w:r>
    </w:p>
    <w:p>
      <w:pPr>
        <w:ind w:left="420"/>
      </w:pPr>
      <w:r>
        <w:t xml:space="preserve">2. die Vorschriften der Fahrzeug-Zulassungsverordnung, auf die durch dieses Gesetz verwiesen wird, durch eine Verordnung nach Nummer 1 durch inhaltsgleiche Regelungen zur Definition von Kraftfahrzeugen und Anhängern sowie den Anforderungen an deren Zulassung zur Inbetriebnahme auf öffentlichen Straßen ersetzt werden.</w:t>
      </w:r>
    </w:p>
    <w:p>
      <w:r>
        <w:rPr>
          <w:color w:val="555555"/>
          <w:sz w:val="17"/>
        </w:rPr>
        <w:t xml:space="preserve">Zitiervorschlag: § 33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