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PflVG — Strafvorschriften</w:t>
      </w:r>
    </w:p>
    <w:p>
      <w:r>
        <w:rPr>
          <w:color w:val="555555"/>
          <w:sz w:val="18"/>
        </w:rPr>
        <w:t xml:space="preserve">Pflichtversicherungsgesetz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(1) Mit Freiheitsstrafe bis zu einem Jahr oder mit Geldstrafe wird bestraft, wer</w:t>
      </w:r>
    </w:p>
    <w:p>
      <w:pPr>
        <w:ind w:left="420"/>
      </w:pPr>
      <w:r>
        <w:t xml:space="preserve">1. entgegen § 6 Absatz 1, 2 oder 3 ein Fahrzeug gebraucht oder</w:t>
      </w:r>
    </w:p>
    <w:p>
      <w:pPr>
        <w:ind w:left="420"/>
      </w:pPr>
      <w:r>
        <w:t xml:space="preserve">2. entgegen § 6 Absatz 4 einen dort genannten Gebrauch gestattet.</w:t>
      </w:r>
    </w:p>
    <w:p>
      <w:r>
        <w:t xml:space="preserve">(2) Handelt der Täter fahrlässig, so ist die Strafe Freiheitsstrafe bis zu sechs Monaten oder Geldstrafe bis zu einhundertachtzig Tagessätzen.</w:t>
      </w:r>
    </w:p>
    <w:p>
      <w:r>
        <w:t xml:space="preserve">(3) Die Tat ist nicht strafbar, wenn für den Gebrauch des Fahrzeugs, sofern es nur seinen regelmäßigen Standort und nicht seinen gewöhnlichen Standort im Inland hat,</w:t>
      </w:r>
    </w:p>
    <w:p>
      <w:pPr>
        <w:ind w:left="420"/>
      </w:pPr>
      <w:r>
        <w:t xml:space="preserve">1. ein den Anforderungen des § 3 Absatz 1, 2 oder 3 des Auslandsfahrzeug-Pflichtversicherungsgesetzes genügender Versicherungsschutz besteht oder</w:t>
      </w:r>
    </w:p>
    <w:p>
      <w:pPr>
        <w:ind w:left="420"/>
      </w:pPr>
      <w:r>
        <w:t xml:space="preserve">2. die Schadenregulierung nach § 9 des Auslandsfahrzeug-Pflichtversicherungsgesetzes gewährleistet ist.</w:t>
      </w:r>
    </w:p>
    <w:p>
      <w:r>
        <w:t xml:space="preserve">(4) Fahrzeuge, auf die sich eine Straftat nach Absatz 1 bezieht, können eingezogen werden, wenn sie dem Täter oder Teilnehmer zur Zeit der Entscheidung gehören.</w:t>
      </w:r>
    </w:p>
    <w:p>
      <w:r>
        <w:rPr>
          <w:color w:val="555555"/>
          <w:sz w:val="17"/>
        </w:rPr>
        <w:t xml:space="preserve">Zitiervorschlag: § 30 PflVG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https://recht.nulegal.eu/gesetze/PflVG/30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