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PflVG — Übertragung der Wahrnehmung der Aufgaben auf eine andere juristische Person; Verordnungsermächtigungen</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Das Bundesministerium der Justiz wird ermächtigt, durch Rechtsverordnung ohne Zustimmung des Bundesrates die Aufgaben und Befugnisse des Entschädigungsfonds, der Entschädigungsstelle, der Verhandlungsstelle oder des Insolvenzfonds der in § 23 genannten Anstalt zu übertragen, soweit die Wahrnehmung der Aufgaben und Befugnisse des Entschädigungsfonds, der Entschädigungsstelle, der Verhandlungsstelle oder des Insolvenzfonds durch die Verkehrsopferhilfe nicht gewährleistet ist oder diese nicht mehr zur Wahrnehmung der Aufgaben bereit ist.</w:t>
      </w:r>
    </w:p>
    <w:p>
      <w:r>
        <w:t xml:space="preserve">(2) Das Bundesministerium der Justiz wird ermächtigt, im Einvernehmen mit dem Bundesministerium für Digitales und Verkehr, dem Bundesministerium für Wirtschaft und Klimaschutz und dem Bundesministerium der Finanzen durch Rechtsverordnung ohne Zustimmung des Bundesrates die Stellung des Entschädigungsfonds, die Stellung der Entschädigungsstelle, die Stellung der Verhandlungsstelle oder die Stellung des Insolvenzfonds einer anderen bestehenden juristischen Person des Privatrechts zuzuweisen, soweit die Wahrnehmung der Aufgaben und Befugnisse des Entschädigungsfonds, der Entschädigungsstelle, der Verhandlungsstelle oder des Insolvenzfonds durch die Verkehrsopferhilfe nicht gewährleistet ist oder diese nicht mehr zur Wahrnehmung der Aufgaben bereit ist, wenn</w:t>
      </w:r>
    </w:p>
    <w:p>
      <w:pPr>
        <w:ind w:left="420"/>
      </w:pPr>
      <w:r>
        <w:t xml:space="preserve">1. diese juristische Person des Privatrechts bereit ist, die Aufgaben des Entschädigungsfonds, der Entschädigungsstelle, der Verhandlungsstelle oder des Insolvenzfonds zu übernehmen, und</w:t>
      </w:r>
    </w:p>
    <w:p>
      <w:pPr>
        <w:ind w:left="420"/>
      </w:pPr>
      <w:r>
        <w:t xml:space="preserve">2. sie hinreichende Gewähr für die Erfüllung der Ansprüche der Ersatzberechtigten bietet.</w:t>
      </w:r>
    </w:p>
    <w:p>
      <w:r>
        <w:t xml:space="preserve">(3) § 24 Absatz 3 und 4 gilt auch für die Anstalt nach § 23 entsprechend, wenn und soweit ihr durch Rechtsverordnung nach Absatz 1 Aufgaben und Befugnisse zugewiesen werden. § 24 Absatz 3 und 4 und die §§ 25 bis 27 gelten für jede andere juristische Person entsprechend, wenn und soweit dieser juristischen Person durch Rechtsverordnung nach Absatz 2 Aufgaben und Befugnisse zugewiesen werden.</w:t>
      </w:r>
    </w:p>
    <w:p>
      <w:r>
        <w:rPr>
          <w:color w:val="555555"/>
          <w:sz w:val="17"/>
        </w:rPr>
        <w:t xml:space="preserve">Zitiervorschlag: § 28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